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543D6" w:rsidRDefault="007543D6" w:rsidP="00B10EEC">
      <w:pPr>
        <w:rPr>
          <w:iCs/>
          <w:color w:val="000000"/>
        </w:rPr>
      </w:pPr>
    </w:p>
    <w:p w:rsidR="007543D6" w:rsidRDefault="007543D6" w:rsidP="00B10EEC">
      <w:pPr>
        <w:rPr>
          <w:iCs/>
          <w:color w:val="000000"/>
        </w:rPr>
      </w:pPr>
    </w:p>
    <w:p w:rsidR="009F171B" w:rsidRPr="009F171B" w:rsidRDefault="009F171B" w:rsidP="009F171B">
      <w:pPr>
        <w:ind w:left="397" w:hanging="397"/>
        <w:rPr>
          <w:iCs/>
          <w:color w:val="000000"/>
        </w:rPr>
      </w:pPr>
      <w:r>
        <w:rPr>
          <w:iCs/>
          <w:color w:val="000000"/>
        </w:rPr>
        <w:tab/>
      </w:r>
      <w:r w:rsidRPr="009F171B">
        <w:rPr>
          <w:iCs/>
          <w:color w:val="000000"/>
          <w:u w:val="single"/>
        </w:rPr>
        <w:t>DIPLOMATI MAGISTRALI LA SENTENZA DELLE SEZIONI RIUNITE DEL CONSIGLIO DI STATO</w:t>
      </w:r>
    </w:p>
    <w:p w:rsidR="009F171B" w:rsidRPr="009F171B" w:rsidRDefault="009F171B" w:rsidP="009F171B">
      <w:pPr>
        <w:rPr>
          <w:iCs/>
          <w:color w:val="000000"/>
        </w:rPr>
      </w:pPr>
      <w:r w:rsidRPr="009F171B">
        <w:rPr>
          <w:iCs/>
          <w:color w:val="000000"/>
        </w:rPr>
        <w:t>Grande scalpore ha destato la recente sentenza del Consiglio di Stato a Sezioni Riunite n. 11/2017 che non ha riconosciuto il diritto di alcuni docenti diplomati entro l'anno 2001/02 ad essere inseriti in GAE (Graduatorie ad Esaurimento) e, conseguentemente, all'assunzione a tempo indeterminato.</w:t>
      </w:r>
    </w:p>
    <w:p w:rsidR="009F171B" w:rsidRPr="009F171B" w:rsidRDefault="009F171B" w:rsidP="009F171B">
      <w:pPr>
        <w:rPr>
          <w:iCs/>
          <w:color w:val="000000"/>
        </w:rPr>
      </w:pPr>
      <w:r w:rsidRPr="009F171B">
        <w:rPr>
          <w:iCs/>
          <w:color w:val="000000"/>
        </w:rPr>
        <w:t>Vogliamo qui, innanzitutto, chiarire quali siano i colleghi che sono coinvolti  nella sentenza di cui trattasi. O, meglio, perché più semplice, chiarire che alcuni non han nulla da temere.</w:t>
      </w:r>
    </w:p>
    <w:p w:rsidR="009F171B" w:rsidRPr="009F171B" w:rsidRDefault="009F171B" w:rsidP="009F171B">
      <w:pPr>
        <w:ind w:left="397" w:hanging="397"/>
        <w:rPr>
          <w:iCs/>
          <w:color w:val="000000"/>
        </w:rPr>
      </w:pPr>
      <w:r w:rsidRPr="009F171B">
        <w:rPr>
          <w:iCs/>
          <w:color w:val="000000"/>
        </w:rPr>
        <w:t>•</w:t>
      </w:r>
      <w:r w:rsidRPr="009F171B">
        <w:rPr>
          <w:iCs/>
          <w:color w:val="000000"/>
        </w:rPr>
        <w:tab/>
        <w:t>Nulla hanno da temere coloro che sono stati inseriti nelle Graduatorie Permanenti, successivamente denominate GAE, essendo in possesso del Diploma abilitante congiunto con il superamento di un concorso ordinario o riservato. Ciò ovviamente prima del 2014 in quanto, in tale anno, il D.M. n. 235 dispose l'aggiornamento delle graduatorie NON consentendo nuovi inserimenti. Sembra, a tale proposito, non rilevare neppure il fatto che chi era in graduatoria eventualmente non abbia presentato domanda di conferma in sede di aggiornamento, poiché la mancata espressione di volontà di rimanere non può recare conseguenze irreversibili (C.d.S. Sez VI 14.7.2014, n. 3616).</w:t>
      </w:r>
    </w:p>
    <w:p w:rsidR="009F171B" w:rsidRPr="009F171B" w:rsidRDefault="009F171B" w:rsidP="009F171B">
      <w:pPr>
        <w:ind w:left="397" w:hanging="397"/>
        <w:rPr>
          <w:iCs/>
          <w:color w:val="000000"/>
        </w:rPr>
      </w:pPr>
      <w:r w:rsidRPr="009F171B">
        <w:rPr>
          <w:iCs/>
          <w:color w:val="000000"/>
        </w:rPr>
        <w:t>•</w:t>
      </w:r>
      <w:r w:rsidRPr="009F171B">
        <w:rPr>
          <w:iCs/>
          <w:color w:val="000000"/>
        </w:rPr>
        <w:tab/>
        <w:t>Nulla hanno da temere coloro che sono stati inseriti in GAE o assunti in ruolo con sentenza DEFINITIVA del TAR o del Giudice del Lavoro. In sostanza, quindi, il problema riguarda coloro i quali PER LA PRIMA VOLTA presentarono domanda nel 2014 anno in cui il già citato D.M.235 chiuse le porte a nuovi inserimenti, limitandosi a consentire aggiornamenti di punteggio, conferme in graduatoria, o cambi di provincia. Costoro, secondo la tesi ministeriale, recepita dai Giudici, non avendo mai presentato domanda prima del 2014 sarebbero irrimediabilmente decaduti.</w:t>
      </w:r>
    </w:p>
    <w:p w:rsidR="009F171B" w:rsidRPr="009F171B" w:rsidRDefault="009F171B" w:rsidP="009F171B">
      <w:pPr>
        <w:rPr>
          <w:iCs/>
          <w:color w:val="000000"/>
        </w:rPr>
      </w:pPr>
      <w:r w:rsidRPr="009F171B">
        <w:rPr>
          <w:iCs/>
          <w:color w:val="000000"/>
        </w:rPr>
        <w:t>Com'è, dunque, che molti colleghi si sono “svegliati” in un ritardo che sembra così macroscopico? Perché il C.d.S., sez. II, con parere n. 3813 dell'11 settembre 2013 (parere recepito dal d.P.R. Del 25 marzo 2014, n. 235 ha dichiarato l'illegittimità del D.M. 62/2001 “nella parte in cui non parifica ai docenti abilitati coloro che abbiano conseguito entro l'anno 2001/2002 il diploma magistrale, inserendoli nella III fascia delle graduatorie di istituto e non nella seconda fascia”. Questo fatto ha ingenerato una serie di domande di inclusione in graduatoria e di ricorsi avverso la mancata accettazione della domanda, mancata accettazione derivante, come sopra detto, dalle disposizioni del D.M. 235/2014 che non consentiva nuovi inserimenti, ma solo “aggiornamenti”.</w:t>
      </w:r>
    </w:p>
    <w:p w:rsidR="009F171B" w:rsidRPr="009F171B" w:rsidRDefault="009F171B" w:rsidP="009F171B">
      <w:pPr>
        <w:rPr>
          <w:iCs/>
          <w:color w:val="000000"/>
        </w:rPr>
      </w:pPr>
      <w:r w:rsidRPr="009F171B">
        <w:rPr>
          <w:iCs/>
          <w:color w:val="000000"/>
        </w:rPr>
        <w:t>La tesi, in base alla quale la Sezione Sesta del Consiglio di Stato (sentenza n. 1973/2015) ha affermato che solo a partire dal più sopra citato parere del C.d.S. (sez. II) dell'11 settembre 2013 fosse possibile la presentazione della domanda per i “diplomati”, (senza superamento di concorso -ordinario o riservato, che sia- ) e sulla quale si sono uniformati molti giudizi di TAR o Giudici del Lavoro, è stata totalmente smentita dallo stesso C.d.S. a sezioni riunite e, pertanto, è nato il problema.</w:t>
      </w:r>
    </w:p>
    <w:p w:rsidR="009F171B" w:rsidRPr="009F171B" w:rsidRDefault="009F171B" w:rsidP="009F171B">
      <w:pPr>
        <w:rPr>
          <w:iCs/>
          <w:color w:val="000000"/>
        </w:rPr>
      </w:pPr>
      <w:r w:rsidRPr="009F171B">
        <w:rPr>
          <w:iCs/>
          <w:color w:val="000000"/>
        </w:rPr>
        <w:t>A questo punto si aprono tre scenari:</w:t>
      </w:r>
    </w:p>
    <w:p w:rsidR="009F171B" w:rsidRPr="009F171B" w:rsidRDefault="009F171B" w:rsidP="009F171B">
      <w:pPr>
        <w:pStyle w:val="Paragrafoelenco"/>
        <w:numPr>
          <w:ilvl w:val="0"/>
          <w:numId w:val="11"/>
        </w:numPr>
        <w:ind w:left="284" w:hanging="284"/>
        <w:rPr>
          <w:iCs/>
          <w:color w:val="000000"/>
        </w:rPr>
      </w:pPr>
      <w:r w:rsidRPr="009F171B">
        <w:rPr>
          <w:iCs/>
          <w:color w:val="000000"/>
        </w:rPr>
        <w:t>chi ha avuto la supplenza annuale o la nomina in ruolo non definitiva, ma in base a sentenza cautelare continua nel suo lavoro fino a che l'Avvocatura dello Stato (in tempi presumibilmente non brevi) risponderà al Ministero che l'ha interpellata per sapere come ed in quali tempi applicare la sentenza del C.d.S.</w:t>
      </w:r>
    </w:p>
    <w:p w:rsidR="009F171B" w:rsidRPr="009F171B" w:rsidRDefault="009F171B" w:rsidP="009F171B">
      <w:pPr>
        <w:pStyle w:val="Paragrafoelenco"/>
        <w:numPr>
          <w:ilvl w:val="0"/>
          <w:numId w:val="11"/>
        </w:numPr>
        <w:ind w:left="284" w:hanging="284"/>
        <w:rPr>
          <w:iCs/>
          <w:color w:val="000000"/>
        </w:rPr>
      </w:pPr>
      <w:r w:rsidRPr="009F171B">
        <w:rPr>
          <w:iCs/>
          <w:color w:val="000000"/>
        </w:rPr>
        <w:t>Lo Studio Legale dello SNALS CONFSAL, nell'intento di operare nell'effettivo interesse dei nostri assistiti e non solo di proporre azioni costose per interessi di parte, consiglia di aspettare ad agire in questa fase, fermo restando che l'Ufficio Legale stesso segue la vicenda attentamente e, appena sarà il caso di agire, lo comunicherà. Ragione in più per restare in contatto con il Sindacato onde non perdere alcun passaggio.</w:t>
      </w:r>
    </w:p>
    <w:p w:rsidR="009F171B" w:rsidRPr="009F171B" w:rsidRDefault="009F171B" w:rsidP="009F171B">
      <w:pPr>
        <w:pStyle w:val="Paragrafoelenco"/>
        <w:numPr>
          <w:ilvl w:val="0"/>
          <w:numId w:val="11"/>
        </w:numPr>
        <w:ind w:left="284" w:hanging="284"/>
        <w:rPr>
          <w:iCs/>
          <w:color w:val="000000"/>
        </w:rPr>
      </w:pPr>
      <w:r w:rsidRPr="009F171B">
        <w:rPr>
          <w:iCs/>
          <w:color w:val="000000"/>
        </w:rPr>
        <w:t>In prospettiva potrebbe essere necessario arrivare ad una “soluzione politica” (della quale, ovviamente si dovrà parlare con il nuovo Governo, non essendo più questo titolato a prendere iniziative) che dovrà consentire di dare adeguata sistemazione a chi ha avuto un riconoscimento, ora messo in discussione dalla più volte citata sentenza del C.d.S. a Sezioni Riunite, senza dimenticare gli interessi di coloro che in GaE ci sono a pieno titolo quali, per esempio, i laureati in scienze della formazione primaria.</w:t>
      </w:r>
    </w:p>
    <w:p w:rsidR="009F171B" w:rsidRPr="009F171B" w:rsidRDefault="009F171B" w:rsidP="009F171B">
      <w:pPr>
        <w:rPr>
          <w:iCs/>
          <w:color w:val="000000"/>
        </w:rPr>
      </w:pPr>
      <w:r w:rsidRPr="009F171B">
        <w:rPr>
          <w:iCs/>
          <w:color w:val="000000"/>
        </w:rPr>
        <w:t>E' evidente che questo articolo ha lo scopo solo di dare una prima lettura di una vicenda abbastanza ingarbugliata sulla quale poche sono le prospettive di certezza, ma che è attentamente monitorata dallo SNALS CONFSAL onde pervenire a soluzioni che contemperino le esigenze e le legittime aspettative di tutte le parti in causa.</w:t>
      </w:r>
    </w:p>
    <w:p w:rsidR="009F171B" w:rsidRPr="009F171B" w:rsidRDefault="009F171B" w:rsidP="009F171B">
      <w:pPr>
        <w:rPr>
          <w:iCs/>
          <w:color w:val="000000"/>
        </w:rPr>
      </w:pPr>
      <w:r w:rsidRPr="009F171B">
        <w:rPr>
          <w:iCs/>
          <w:color w:val="000000"/>
        </w:rPr>
        <w:t>Sugli sviluppi della situazione vi terremo costantemente informati.</w:t>
      </w:r>
    </w:p>
    <w:p w:rsidR="005455D0" w:rsidRDefault="005455D0" w:rsidP="00B10EEC">
      <w:pPr>
        <w:rPr>
          <w:iCs/>
          <w:color w:val="000000"/>
        </w:rPr>
      </w:pPr>
    </w:p>
    <w:sectPr w:rsidR="005455D0" w:rsidSect="00D972FD">
      <w:footerReference w:type="default" r:id="rId7"/>
      <w:pgSz w:w="11906" w:h="16838"/>
      <w:pgMar w:top="568"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6348C" w:rsidRDefault="0056348C">
      <w:r>
        <w:separator/>
      </w:r>
    </w:p>
  </w:endnote>
  <w:endnote w:type="continuationSeparator" w:id="1">
    <w:p w:rsidR="0056348C" w:rsidRDefault="0056348C">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 w:name="Andale Sans UI">
    <w:altName w:val="Times New Roman"/>
    <w:charset w:val="00"/>
    <w:family w:val="auto"/>
    <w:pitch w:val="variable"/>
    <w:sig w:usb0="00000000" w:usb1="00000000" w:usb2="00000000" w:usb3="00000000" w:csb0="00000000"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872AC" w:rsidRPr="005B171E" w:rsidRDefault="0031708B">
    <w:pPr>
      <w:pStyle w:val="Pidipagina"/>
      <w:jc w:val="right"/>
      <w:rPr>
        <w:rFonts w:cs="Times New Roman"/>
        <w:i/>
        <w:color w:val="17365D"/>
      </w:rPr>
    </w:pPr>
    <w:r w:rsidRPr="005B171E">
      <w:rPr>
        <w:i/>
        <w:color w:val="17365D"/>
      </w:rPr>
      <w:fldChar w:fldCharType="begin"/>
    </w:r>
    <w:r w:rsidR="00161A2E" w:rsidRPr="005B171E">
      <w:rPr>
        <w:i/>
        <w:color w:val="17365D"/>
      </w:rPr>
      <w:instrText>PAGE   \* MERGEFORMAT</w:instrText>
    </w:r>
    <w:r w:rsidRPr="005B171E">
      <w:rPr>
        <w:i/>
        <w:color w:val="17365D"/>
      </w:rPr>
      <w:fldChar w:fldCharType="separate"/>
    </w:r>
    <w:r w:rsidR="00D972FD">
      <w:rPr>
        <w:i/>
        <w:noProof/>
        <w:color w:val="17365D"/>
      </w:rPr>
      <w:t>1</w:t>
    </w:r>
    <w:r w:rsidRPr="005B171E">
      <w:rPr>
        <w:i/>
        <w:noProof/>
        <w:color w:val="17365D"/>
      </w:rPr>
      <w:fldChar w:fldCharType="end"/>
    </w:r>
  </w:p>
  <w:p w:rsidR="005872AC" w:rsidRDefault="0056348C"/>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6348C" w:rsidRDefault="0056348C">
      <w:r>
        <w:separator/>
      </w:r>
    </w:p>
  </w:footnote>
  <w:footnote w:type="continuationSeparator" w:id="1">
    <w:p w:rsidR="0056348C" w:rsidRDefault="0056348C">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nsid w:val="07D10652"/>
    <w:multiLevelType w:val="hybridMultilevel"/>
    <w:tmpl w:val="31B2CB9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nsid w:val="11D3113C"/>
    <w:multiLevelType w:val="hybridMultilevel"/>
    <w:tmpl w:val="A6523784"/>
    <w:lvl w:ilvl="0" w:tplc="2C6EE7A0">
      <w:start w:val="1"/>
      <w:numFmt w:val="decimal"/>
      <w:lvlText w:val="%1."/>
      <w:lvlJc w:val="left"/>
      <w:pPr>
        <w:tabs>
          <w:tab w:val="num" w:pos="720"/>
        </w:tabs>
        <w:ind w:left="720" w:hanging="360"/>
      </w:pPr>
    </w:lvl>
    <w:lvl w:ilvl="1" w:tplc="91F4D81E">
      <w:start w:val="11"/>
      <w:numFmt w:val="decimal"/>
      <w:lvlText w:val="%2."/>
      <w:lvlJc w:val="left"/>
      <w:pPr>
        <w:tabs>
          <w:tab w:val="num" w:pos="1440"/>
        </w:tabs>
        <w:ind w:left="1440" w:hanging="360"/>
      </w:pPr>
    </w:lvl>
    <w:lvl w:ilvl="2" w:tplc="A2565DA0">
      <w:start w:val="1"/>
      <w:numFmt w:val="bullet"/>
      <w:lvlText w:val=""/>
      <w:lvlJc w:val="left"/>
      <w:pPr>
        <w:tabs>
          <w:tab w:val="num" w:pos="2160"/>
        </w:tabs>
        <w:ind w:left="2160" w:hanging="360"/>
      </w:pPr>
      <w:rPr>
        <w:rFonts w:ascii="Wingdings" w:hAnsi="Wingdings" w:hint="default"/>
        <w:sz w:val="20"/>
      </w:rPr>
    </w:lvl>
    <w:lvl w:ilvl="3" w:tplc="4F7236C0" w:tentative="1">
      <w:start w:val="1"/>
      <w:numFmt w:val="decimal"/>
      <w:lvlText w:val="%4."/>
      <w:lvlJc w:val="left"/>
      <w:pPr>
        <w:tabs>
          <w:tab w:val="num" w:pos="2880"/>
        </w:tabs>
        <w:ind w:left="2880" w:hanging="360"/>
      </w:pPr>
    </w:lvl>
    <w:lvl w:ilvl="4" w:tplc="B7A602CE" w:tentative="1">
      <w:start w:val="1"/>
      <w:numFmt w:val="decimal"/>
      <w:lvlText w:val="%5."/>
      <w:lvlJc w:val="left"/>
      <w:pPr>
        <w:tabs>
          <w:tab w:val="num" w:pos="3600"/>
        </w:tabs>
        <w:ind w:left="3600" w:hanging="360"/>
      </w:pPr>
    </w:lvl>
    <w:lvl w:ilvl="5" w:tplc="1AF0F238" w:tentative="1">
      <w:start w:val="1"/>
      <w:numFmt w:val="decimal"/>
      <w:lvlText w:val="%6."/>
      <w:lvlJc w:val="left"/>
      <w:pPr>
        <w:tabs>
          <w:tab w:val="num" w:pos="4320"/>
        </w:tabs>
        <w:ind w:left="4320" w:hanging="360"/>
      </w:pPr>
    </w:lvl>
    <w:lvl w:ilvl="6" w:tplc="156C3C82" w:tentative="1">
      <w:start w:val="1"/>
      <w:numFmt w:val="decimal"/>
      <w:lvlText w:val="%7."/>
      <w:lvlJc w:val="left"/>
      <w:pPr>
        <w:tabs>
          <w:tab w:val="num" w:pos="5040"/>
        </w:tabs>
        <w:ind w:left="5040" w:hanging="360"/>
      </w:pPr>
    </w:lvl>
    <w:lvl w:ilvl="7" w:tplc="B9AEDAA4" w:tentative="1">
      <w:start w:val="1"/>
      <w:numFmt w:val="decimal"/>
      <w:lvlText w:val="%8."/>
      <w:lvlJc w:val="left"/>
      <w:pPr>
        <w:tabs>
          <w:tab w:val="num" w:pos="5760"/>
        </w:tabs>
        <w:ind w:left="5760" w:hanging="360"/>
      </w:pPr>
    </w:lvl>
    <w:lvl w:ilvl="8" w:tplc="895E79CC" w:tentative="1">
      <w:start w:val="1"/>
      <w:numFmt w:val="decimal"/>
      <w:lvlText w:val="%9."/>
      <w:lvlJc w:val="left"/>
      <w:pPr>
        <w:tabs>
          <w:tab w:val="num" w:pos="6480"/>
        </w:tabs>
        <w:ind w:left="6480" w:hanging="360"/>
      </w:pPr>
    </w:lvl>
  </w:abstractNum>
  <w:abstractNum w:abstractNumId="3">
    <w:nsid w:val="13B9655F"/>
    <w:multiLevelType w:val="hybridMultilevel"/>
    <w:tmpl w:val="628290C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nsid w:val="150F1197"/>
    <w:multiLevelType w:val="multilevel"/>
    <w:tmpl w:val="F3383690"/>
    <w:lvl w:ilvl="0">
      <w:start w:val="1"/>
      <w:numFmt w:val="decimal"/>
      <w:lvlText w:val="%1."/>
      <w:lvlJc w:val="left"/>
      <w:pPr>
        <w:tabs>
          <w:tab w:val="num" w:pos="720"/>
        </w:tabs>
        <w:ind w:left="720" w:hanging="360"/>
      </w:pPr>
      <w:rPr>
        <w:rFonts w:ascii="Arial" w:hAnsi="Arial" w:hint="default"/>
        <w:b w:val="0"/>
        <w:i w:val="0"/>
        <w:caps w:val="0"/>
        <w:strike w:val="0"/>
        <w:dstrike w:val="0"/>
        <w:vanish w:val="0"/>
        <w:sz w:val="20"/>
        <w:vertAlign w:val="baseline"/>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start w:val="1"/>
      <w:numFmt w:val="decimal"/>
      <w:pStyle w:val="Titolo5"/>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23C73C61"/>
    <w:multiLevelType w:val="hybridMultilevel"/>
    <w:tmpl w:val="12BC2A9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nsid w:val="2900309B"/>
    <w:multiLevelType w:val="hybridMultilevel"/>
    <w:tmpl w:val="B4EEB700"/>
    <w:lvl w:ilvl="0" w:tplc="EF3A2C88">
      <w:start w:val="1"/>
      <w:numFmt w:val="decimal"/>
      <w:lvlText w:val="%1."/>
      <w:lvlJc w:val="left"/>
      <w:pPr>
        <w:tabs>
          <w:tab w:val="num" w:pos="930"/>
        </w:tabs>
        <w:ind w:left="930" w:hanging="570"/>
      </w:pPr>
    </w:lvl>
    <w:lvl w:ilvl="1" w:tplc="04100019">
      <w:start w:val="1"/>
      <w:numFmt w:val="lowerLetter"/>
      <w:lvlText w:val="%2."/>
      <w:lvlJc w:val="left"/>
      <w:pPr>
        <w:tabs>
          <w:tab w:val="num" w:pos="1440"/>
        </w:tabs>
        <w:ind w:left="1440" w:hanging="360"/>
      </w:pPr>
    </w:lvl>
    <w:lvl w:ilvl="2" w:tplc="0410001B">
      <w:start w:val="1"/>
      <w:numFmt w:val="lowerRoman"/>
      <w:lvlText w:val="%3."/>
      <w:lvlJc w:val="right"/>
      <w:pPr>
        <w:tabs>
          <w:tab w:val="num" w:pos="2160"/>
        </w:tabs>
        <w:ind w:left="2160" w:hanging="180"/>
      </w:pPr>
    </w:lvl>
    <w:lvl w:ilvl="3" w:tplc="0410000F">
      <w:start w:val="1"/>
      <w:numFmt w:val="decimal"/>
      <w:lvlText w:val="%4."/>
      <w:lvlJc w:val="left"/>
      <w:pPr>
        <w:tabs>
          <w:tab w:val="num" w:pos="2880"/>
        </w:tabs>
        <w:ind w:left="2880" w:hanging="360"/>
      </w:pPr>
    </w:lvl>
    <w:lvl w:ilvl="4" w:tplc="04100019">
      <w:start w:val="1"/>
      <w:numFmt w:val="lowerLetter"/>
      <w:lvlText w:val="%5."/>
      <w:lvlJc w:val="left"/>
      <w:pPr>
        <w:tabs>
          <w:tab w:val="num" w:pos="3600"/>
        </w:tabs>
        <w:ind w:left="3600" w:hanging="360"/>
      </w:pPr>
    </w:lvl>
    <w:lvl w:ilvl="5" w:tplc="0410001B">
      <w:start w:val="1"/>
      <w:numFmt w:val="lowerRoman"/>
      <w:lvlText w:val="%6."/>
      <w:lvlJc w:val="right"/>
      <w:pPr>
        <w:tabs>
          <w:tab w:val="num" w:pos="4320"/>
        </w:tabs>
        <w:ind w:left="4320" w:hanging="180"/>
      </w:pPr>
    </w:lvl>
    <w:lvl w:ilvl="6" w:tplc="0410000F">
      <w:start w:val="1"/>
      <w:numFmt w:val="decimal"/>
      <w:lvlText w:val="%7."/>
      <w:lvlJc w:val="left"/>
      <w:pPr>
        <w:tabs>
          <w:tab w:val="num" w:pos="5040"/>
        </w:tabs>
        <w:ind w:left="5040" w:hanging="360"/>
      </w:pPr>
    </w:lvl>
    <w:lvl w:ilvl="7" w:tplc="04100019">
      <w:start w:val="1"/>
      <w:numFmt w:val="lowerLetter"/>
      <w:lvlText w:val="%8."/>
      <w:lvlJc w:val="left"/>
      <w:pPr>
        <w:tabs>
          <w:tab w:val="num" w:pos="5760"/>
        </w:tabs>
        <w:ind w:left="5760" w:hanging="360"/>
      </w:pPr>
    </w:lvl>
    <w:lvl w:ilvl="8" w:tplc="0410001B">
      <w:start w:val="1"/>
      <w:numFmt w:val="lowerRoman"/>
      <w:lvlText w:val="%9."/>
      <w:lvlJc w:val="right"/>
      <w:pPr>
        <w:tabs>
          <w:tab w:val="num" w:pos="6480"/>
        </w:tabs>
        <w:ind w:left="6480" w:hanging="180"/>
      </w:pPr>
    </w:lvl>
  </w:abstractNum>
  <w:abstractNum w:abstractNumId="7">
    <w:nsid w:val="401B1658"/>
    <w:multiLevelType w:val="hybridMultilevel"/>
    <w:tmpl w:val="34FE6BCA"/>
    <w:lvl w:ilvl="0" w:tplc="0BC4A616">
      <w:numFmt w:val="bullet"/>
      <w:lvlText w:val="-"/>
      <w:lvlJc w:val="left"/>
      <w:pPr>
        <w:ind w:left="720" w:hanging="360"/>
      </w:pPr>
      <w:rPr>
        <w:rFonts w:ascii="Arial" w:eastAsiaTheme="minorHAnsi"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nsid w:val="54B604E6"/>
    <w:multiLevelType w:val="hybridMultilevel"/>
    <w:tmpl w:val="1F402AE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nsid w:val="54CA0B5F"/>
    <w:multiLevelType w:val="hybridMultilevel"/>
    <w:tmpl w:val="CD9ED24C"/>
    <w:lvl w:ilvl="0" w:tplc="04100003">
      <w:start w:val="1"/>
      <w:numFmt w:val="bullet"/>
      <w:lvlText w:val="o"/>
      <w:lvlJc w:val="left"/>
      <w:pPr>
        <w:ind w:left="720" w:hanging="360"/>
      </w:pPr>
      <w:rPr>
        <w:rFonts w:ascii="Courier New" w:hAnsi="Courier New" w:cs="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nsid w:val="614E2769"/>
    <w:multiLevelType w:val="hybridMultilevel"/>
    <w:tmpl w:val="48380DC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nsid w:val="6EA1604E"/>
    <w:multiLevelType w:val="hybridMultilevel"/>
    <w:tmpl w:val="926A9800"/>
    <w:lvl w:ilvl="0" w:tplc="403221FC">
      <w:start w:val="1"/>
      <w:numFmt w:val="bullet"/>
      <w:lvlText w:val=""/>
      <w:lvlJc w:val="left"/>
      <w:pPr>
        <w:tabs>
          <w:tab w:val="num" w:pos="567"/>
        </w:tabs>
        <w:ind w:left="567" w:hanging="283"/>
      </w:pPr>
      <w:rPr>
        <w:rFonts w:ascii="Wingdings" w:hAnsi="Wingdings" w:cs="Times New Roman"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2">
    <w:nsid w:val="7BE26723"/>
    <w:multiLevelType w:val="hybridMultilevel"/>
    <w:tmpl w:val="117ABD32"/>
    <w:lvl w:ilvl="0" w:tplc="403221FC">
      <w:start w:val="1"/>
      <w:numFmt w:val="bullet"/>
      <w:lvlText w:val=""/>
      <w:lvlJc w:val="left"/>
      <w:pPr>
        <w:tabs>
          <w:tab w:val="num" w:pos="567"/>
        </w:tabs>
        <w:ind w:left="567" w:hanging="283"/>
      </w:pPr>
      <w:rPr>
        <w:rFonts w:ascii="Wingdings" w:hAnsi="Wingdings" w:cs="Times New Roman"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num w:numId="1">
    <w:abstractNumId w:val="4"/>
  </w:num>
  <w:num w:numId="2">
    <w:abstractNumId w:val="2"/>
  </w:num>
  <w:num w:numId="3">
    <w:abstractNumId w:val="0"/>
  </w:num>
  <w:num w:numId="4">
    <w:abstractNumId w:val="7"/>
  </w:num>
  <w:num w:numId="5">
    <w:abstractNumId w:val="8"/>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
  </w:num>
  <w:num w:numId="8">
    <w:abstractNumId w:val="5"/>
  </w:num>
  <w:num w:numId="9">
    <w:abstractNumId w:val="1"/>
  </w:num>
  <w:num w:numId="10">
    <w:abstractNumId w:val="6"/>
  </w:num>
  <w:num w:numId="11">
    <w:abstractNumId w:val="9"/>
  </w:num>
  <w:num w:numId="12">
    <w:abstractNumId w:val="12"/>
  </w:num>
  <w:num w:numId="13">
    <w:abstractNumId w:val="11"/>
  </w:num>
  <w:num w:numId="14">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isplayBackgroundShape/>
  <w:defaultTabStop w:val="708"/>
  <w:hyphenationZone w:val="283"/>
  <w:characterSpacingControl w:val="doNotCompress"/>
  <w:footnotePr>
    <w:footnote w:id="0"/>
    <w:footnote w:id="1"/>
  </w:footnotePr>
  <w:endnotePr>
    <w:endnote w:id="0"/>
    <w:endnote w:id="1"/>
  </w:endnotePr>
  <w:compat/>
  <w:rsids>
    <w:rsidRoot w:val="00B10EEC"/>
    <w:rsid w:val="0001211A"/>
    <w:rsid w:val="000150E4"/>
    <w:rsid w:val="0001530B"/>
    <w:rsid w:val="00036F0D"/>
    <w:rsid w:val="00042109"/>
    <w:rsid w:val="00042DF3"/>
    <w:rsid w:val="00074CDF"/>
    <w:rsid w:val="00080078"/>
    <w:rsid w:val="00080DF7"/>
    <w:rsid w:val="000B1CAF"/>
    <w:rsid w:val="000B2387"/>
    <w:rsid w:val="000C21F9"/>
    <w:rsid w:val="000C45C8"/>
    <w:rsid w:val="000C6AC2"/>
    <w:rsid w:val="000D7E0E"/>
    <w:rsid w:val="000E0FBA"/>
    <w:rsid w:val="000F4708"/>
    <w:rsid w:val="000F529D"/>
    <w:rsid w:val="000F669B"/>
    <w:rsid w:val="00100B85"/>
    <w:rsid w:val="00146490"/>
    <w:rsid w:val="00146781"/>
    <w:rsid w:val="00151179"/>
    <w:rsid w:val="001533AE"/>
    <w:rsid w:val="0015361D"/>
    <w:rsid w:val="00160CA4"/>
    <w:rsid w:val="00161A2E"/>
    <w:rsid w:val="00170E61"/>
    <w:rsid w:val="00181189"/>
    <w:rsid w:val="00181939"/>
    <w:rsid w:val="00196A68"/>
    <w:rsid w:val="001A4441"/>
    <w:rsid w:val="001B3FDB"/>
    <w:rsid w:val="001C42D3"/>
    <w:rsid w:val="001C65D8"/>
    <w:rsid w:val="001D40CD"/>
    <w:rsid w:val="001E4DFF"/>
    <w:rsid w:val="00232BCD"/>
    <w:rsid w:val="00235601"/>
    <w:rsid w:val="00240C8F"/>
    <w:rsid w:val="002423BA"/>
    <w:rsid w:val="00247107"/>
    <w:rsid w:val="00252DA0"/>
    <w:rsid w:val="00254DC1"/>
    <w:rsid w:val="00271695"/>
    <w:rsid w:val="0027608D"/>
    <w:rsid w:val="00280FA8"/>
    <w:rsid w:val="00297CE2"/>
    <w:rsid w:val="002B7206"/>
    <w:rsid w:val="002C6A19"/>
    <w:rsid w:val="002D69B0"/>
    <w:rsid w:val="002E187A"/>
    <w:rsid w:val="00307D2F"/>
    <w:rsid w:val="00312ED5"/>
    <w:rsid w:val="003162D9"/>
    <w:rsid w:val="0031708B"/>
    <w:rsid w:val="00323B87"/>
    <w:rsid w:val="003511E2"/>
    <w:rsid w:val="00357ADC"/>
    <w:rsid w:val="00365EA8"/>
    <w:rsid w:val="00366A0D"/>
    <w:rsid w:val="003727D3"/>
    <w:rsid w:val="0038040F"/>
    <w:rsid w:val="003A561C"/>
    <w:rsid w:val="003C6597"/>
    <w:rsid w:val="003E2627"/>
    <w:rsid w:val="003F6983"/>
    <w:rsid w:val="003F70EF"/>
    <w:rsid w:val="0040023C"/>
    <w:rsid w:val="00400356"/>
    <w:rsid w:val="00404DD9"/>
    <w:rsid w:val="00413897"/>
    <w:rsid w:val="00430281"/>
    <w:rsid w:val="00455E0E"/>
    <w:rsid w:val="0046462A"/>
    <w:rsid w:val="00471106"/>
    <w:rsid w:val="00493C6D"/>
    <w:rsid w:val="004A1632"/>
    <w:rsid w:val="004B5803"/>
    <w:rsid w:val="004E1FD1"/>
    <w:rsid w:val="004E362A"/>
    <w:rsid w:val="004E3C10"/>
    <w:rsid w:val="004E643D"/>
    <w:rsid w:val="004F0075"/>
    <w:rsid w:val="00506020"/>
    <w:rsid w:val="005104EF"/>
    <w:rsid w:val="00520A1B"/>
    <w:rsid w:val="0052517A"/>
    <w:rsid w:val="005305FC"/>
    <w:rsid w:val="00543D12"/>
    <w:rsid w:val="00544A38"/>
    <w:rsid w:val="005455D0"/>
    <w:rsid w:val="00550EE9"/>
    <w:rsid w:val="00560848"/>
    <w:rsid w:val="0056348C"/>
    <w:rsid w:val="00563B16"/>
    <w:rsid w:val="00590855"/>
    <w:rsid w:val="005B561B"/>
    <w:rsid w:val="005C4217"/>
    <w:rsid w:val="005D067E"/>
    <w:rsid w:val="005E2AE6"/>
    <w:rsid w:val="005F05A8"/>
    <w:rsid w:val="00634226"/>
    <w:rsid w:val="00640211"/>
    <w:rsid w:val="00670EE0"/>
    <w:rsid w:val="00674FCD"/>
    <w:rsid w:val="006820CD"/>
    <w:rsid w:val="00687828"/>
    <w:rsid w:val="00694A56"/>
    <w:rsid w:val="006A4B13"/>
    <w:rsid w:val="006B3999"/>
    <w:rsid w:val="006C246E"/>
    <w:rsid w:val="006C2A9F"/>
    <w:rsid w:val="006E416C"/>
    <w:rsid w:val="00705AE9"/>
    <w:rsid w:val="00714862"/>
    <w:rsid w:val="007234AF"/>
    <w:rsid w:val="00725757"/>
    <w:rsid w:val="0075277A"/>
    <w:rsid w:val="007543D6"/>
    <w:rsid w:val="007A0CF2"/>
    <w:rsid w:val="007C28F3"/>
    <w:rsid w:val="007C4036"/>
    <w:rsid w:val="007C52B3"/>
    <w:rsid w:val="007E089B"/>
    <w:rsid w:val="007F16E6"/>
    <w:rsid w:val="007F6976"/>
    <w:rsid w:val="007F6E3C"/>
    <w:rsid w:val="00802D69"/>
    <w:rsid w:val="00806DB5"/>
    <w:rsid w:val="00813329"/>
    <w:rsid w:val="008269BA"/>
    <w:rsid w:val="00837162"/>
    <w:rsid w:val="0085335C"/>
    <w:rsid w:val="00854894"/>
    <w:rsid w:val="00860948"/>
    <w:rsid w:val="00897809"/>
    <w:rsid w:val="008E7601"/>
    <w:rsid w:val="008F1A74"/>
    <w:rsid w:val="008F62EF"/>
    <w:rsid w:val="00906B36"/>
    <w:rsid w:val="009305E2"/>
    <w:rsid w:val="00931065"/>
    <w:rsid w:val="00940555"/>
    <w:rsid w:val="00955CEA"/>
    <w:rsid w:val="00972352"/>
    <w:rsid w:val="00982A86"/>
    <w:rsid w:val="00987E8F"/>
    <w:rsid w:val="00992F65"/>
    <w:rsid w:val="00993B22"/>
    <w:rsid w:val="009A030D"/>
    <w:rsid w:val="009B08D6"/>
    <w:rsid w:val="009B61FA"/>
    <w:rsid w:val="009D6B3F"/>
    <w:rsid w:val="009E1D12"/>
    <w:rsid w:val="009E6C00"/>
    <w:rsid w:val="009F171B"/>
    <w:rsid w:val="00A03785"/>
    <w:rsid w:val="00A10D20"/>
    <w:rsid w:val="00A14634"/>
    <w:rsid w:val="00A17D82"/>
    <w:rsid w:val="00A241F0"/>
    <w:rsid w:val="00A434AD"/>
    <w:rsid w:val="00A444EC"/>
    <w:rsid w:val="00A83A37"/>
    <w:rsid w:val="00A87F8D"/>
    <w:rsid w:val="00AC71EC"/>
    <w:rsid w:val="00AD2B3D"/>
    <w:rsid w:val="00AD65E3"/>
    <w:rsid w:val="00AE0E3B"/>
    <w:rsid w:val="00AE31CF"/>
    <w:rsid w:val="00B006B1"/>
    <w:rsid w:val="00B068FE"/>
    <w:rsid w:val="00B10EEC"/>
    <w:rsid w:val="00B119FC"/>
    <w:rsid w:val="00B15277"/>
    <w:rsid w:val="00B25793"/>
    <w:rsid w:val="00B26649"/>
    <w:rsid w:val="00B303EF"/>
    <w:rsid w:val="00B54DED"/>
    <w:rsid w:val="00B56AE6"/>
    <w:rsid w:val="00B65716"/>
    <w:rsid w:val="00B70A7B"/>
    <w:rsid w:val="00B70D86"/>
    <w:rsid w:val="00B71991"/>
    <w:rsid w:val="00B73629"/>
    <w:rsid w:val="00B85775"/>
    <w:rsid w:val="00B94400"/>
    <w:rsid w:val="00BA5FF5"/>
    <w:rsid w:val="00BB5164"/>
    <w:rsid w:val="00BB6F9C"/>
    <w:rsid w:val="00BD2770"/>
    <w:rsid w:val="00BE496B"/>
    <w:rsid w:val="00BF207C"/>
    <w:rsid w:val="00C0183E"/>
    <w:rsid w:val="00C112CE"/>
    <w:rsid w:val="00C2034B"/>
    <w:rsid w:val="00C36F5F"/>
    <w:rsid w:val="00C42DAF"/>
    <w:rsid w:val="00C51C0B"/>
    <w:rsid w:val="00C710E3"/>
    <w:rsid w:val="00C849CE"/>
    <w:rsid w:val="00C86433"/>
    <w:rsid w:val="00CF5955"/>
    <w:rsid w:val="00CF6AAB"/>
    <w:rsid w:val="00D05190"/>
    <w:rsid w:val="00D07713"/>
    <w:rsid w:val="00D32B9B"/>
    <w:rsid w:val="00D503E3"/>
    <w:rsid w:val="00D60A9B"/>
    <w:rsid w:val="00D63365"/>
    <w:rsid w:val="00D7395E"/>
    <w:rsid w:val="00D84990"/>
    <w:rsid w:val="00D872E8"/>
    <w:rsid w:val="00D921CB"/>
    <w:rsid w:val="00D93E69"/>
    <w:rsid w:val="00D972FD"/>
    <w:rsid w:val="00DB1228"/>
    <w:rsid w:val="00DB2314"/>
    <w:rsid w:val="00DC0BB9"/>
    <w:rsid w:val="00DC6795"/>
    <w:rsid w:val="00DD3446"/>
    <w:rsid w:val="00DD426E"/>
    <w:rsid w:val="00DD577F"/>
    <w:rsid w:val="00DE2C27"/>
    <w:rsid w:val="00DE5E73"/>
    <w:rsid w:val="00DE6833"/>
    <w:rsid w:val="00DF3041"/>
    <w:rsid w:val="00E0737F"/>
    <w:rsid w:val="00E10CBA"/>
    <w:rsid w:val="00E12CA5"/>
    <w:rsid w:val="00E13094"/>
    <w:rsid w:val="00E14267"/>
    <w:rsid w:val="00E15F8D"/>
    <w:rsid w:val="00E6133D"/>
    <w:rsid w:val="00E61CD4"/>
    <w:rsid w:val="00ED6DD0"/>
    <w:rsid w:val="00F0283E"/>
    <w:rsid w:val="00F27D21"/>
    <w:rsid w:val="00F46D52"/>
    <w:rsid w:val="00F555EF"/>
    <w:rsid w:val="00F5570E"/>
    <w:rsid w:val="00F5741A"/>
    <w:rsid w:val="00F80B51"/>
    <w:rsid w:val="00FB68F0"/>
    <w:rsid w:val="00FD0A62"/>
    <w:rsid w:val="00FD4F2F"/>
    <w:rsid w:val="00FD7244"/>
    <w:rsid w:val="00FF4612"/>
  </w:rsids>
  <m:mathPr>
    <m:mathFont m:val="Cambria Math"/>
    <m:brkBin m:val="before"/>
    <m:brkBinSub m:val="--"/>
    <m:smallFrac/>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B10EEC"/>
    <w:pPr>
      <w:tabs>
        <w:tab w:val="left" w:pos="397"/>
        <w:tab w:val="left" w:pos="851"/>
        <w:tab w:val="left" w:pos="1247"/>
        <w:tab w:val="left" w:pos="5670"/>
        <w:tab w:val="left" w:pos="7088"/>
      </w:tabs>
      <w:suppressAutoHyphens/>
      <w:spacing w:after="0" w:line="240" w:lineRule="auto"/>
      <w:jc w:val="both"/>
    </w:pPr>
    <w:rPr>
      <w:rFonts w:ascii="Verdana" w:eastAsia="Times New Roman" w:hAnsi="Verdana" w:cs="Verdana"/>
      <w:color w:val="000080"/>
      <w:sz w:val="20"/>
      <w:szCs w:val="20"/>
      <w:lang w:eastAsia="ar-SA"/>
    </w:rPr>
  </w:style>
  <w:style w:type="paragraph" w:styleId="Titolo1">
    <w:name w:val="heading 1"/>
    <w:basedOn w:val="Normale"/>
    <w:next w:val="Normale"/>
    <w:link w:val="Titolo1Carattere"/>
    <w:uiPriority w:val="9"/>
    <w:qFormat/>
    <w:rsid w:val="001B3FDB"/>
    <w:pPr>
      <w:keepNext/>
      <w:keepLines/>
      <w:spacing w:before="480"/>
      <w:outlineLvl w:val="0"/>
    </w:pPr>
    <w:rPr>
      <w:rFonts w:asciiTheme="majorHAnsi" w:eastAsiaTheme="majorEastAsia" w:hAnsiTheme="majorHAnsi" w:cstheme="majorBidi"/>
      <w:b/>
      <w:bCs/>
      <w:color w:val="2E74B5" w:themeColor="accent1" w:themeShade="BF"/>
      <w:sz w:val="28"/>
      <w:szCs w:val="28"/>
    </w:rPr>
  </w:style>
  <w:style w:type="paragraph" w:styleId="Titolo5">
    <w:name w:val="heading 5"/>
    <w:basedOn w:val="Normale"/>
    <w:next w:val="Corpodeltesto"/>
    <w:link w:val="Titolo5Carattere"/>
    <w:qFormat/>
    <w:rsid w:val="00AE31CF"/>
    <w:pPr>
      <w:keepNext/>
      <w:keepLines/>
      <w:widowControl w:val="0"/>
      <w:numPr>
        <w:ilvl w:val="4"/>
        <w:numId w:val="1"/>
      </w:numPr>
      <w:spacing w:before="200"/>
      <w:outlineLvl w:val="4"/>
    </w:pPr>
    <w:rPr>
      <w:rFonts w:ascii="Cambria" w:eastAsia="Andale Sans UI" w:hAnsi="Cambria" w:cs="Times New Roman"/>
      <w:color w:val="243F60"/>
      <w:kern w:val="1"/>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uiPriority w:val="99"/>
    <w:rsid w:val="00B10EEC"/>
    <w:pPr>
      <w:tabs>
        <w:tab w:val="clear" w:pos="397"/>
        <w:tab w:val="clear" w:pos="851"/>
        <w:tab w:val="clear" w:pos="1247"/>
        <w:tab w:val="clear" w:pos="5670"/>
        <w:tab w:val="clear" w:pos="7088"/>
        <w:tab w:val="center" w:pos="4819"/>
        <w:tab w:val="right" w:pos="9638"/>
      </w:tabs>
    </w:pPr>
  </w:style>
  <w:style w:type="character" w:customStyle="1" w:styleId="PidipaginaCarattere">
    <w:name w:val="Piè di pagina Carattere"/>
    <w:basedOn w:val="Carpredefinitoparagrafo"/>
    <w:link w:val="Pidipagina"/>
    <w:uiPriority w:val="99"/>
    <w:rsid w:val="00B10EEC"/>
    <w:rPr>
      <w:rFonts w:ascii="Verdana" w:eastAsia="Times New Roman" w:hAnsi="Verdana" w:cs="Verdana"/>
      <w:color w:val="000080"/>
      <w:sz w:val="20"/>
      <w:szCs w:val="20"/>
      <w:lang w:eastAsia="ar-SA"/>
    </w:rPr>
  </w:style>
  <w:style w:type="character" w:styleId="Collegamentoipertestuale">
    <w:name w:val="Hyperlink"/>
    <w:rsid w:val="00B10EEC"/>
    <w:rPr>
      <w:color w:val="0000FF"/>
      <w:u w:val="single"/>
    </w:rPr>
  </w:style>
  <w:style w:type="character" w:styleId="Enfasigrassetto">
    <w:name w:val="Strong"/>
    <w:uiPriority w:val="22"/>
    <w:qFormat/>
    <w:rsid w:val="00B10EEC"/>
    <w:rPr>
      <w:b/>
      <w:bCs/>
    </w:rPr>
  </w:style>
  <w:style w:type="character" w:styleId="Enfasicorsivo">
    <w:name w:val="Emphasis"/>
    <w:uiPriority w:val="20"/>
    <w:qFormat/>
    <w:rsid w:val="00B10EEC"/>
    <w:rPr>
      <w:i/>
      <w:iCs/>
    </w:rPr>
  </w:style>
  <w:style w:type="table" w:styleId="Grigliatabella">
    <w:name w:val="Table Grid"/>
    <w:basedOn w:val="Tabellanormale"/>
    <w:uiPriority w:val="39"/>
    <w:rsid w:val="00D8499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stofumetto">
    <w:name w:val="Balloon Text"/>
    <w:basedOn w:val="Normale"/>
    <w:link w:val="TestofumettoCarattere"/>
    <w:uiPriority w:val="99"/>
    <w:semiHidden/>
    <w:unhideWhenUsed/>
    <w:rsid w:val="00413897"/>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413897"/>
    <w:rPr>
      <w:rFonts w:ascii="Tahoma" w:eastAsia="Times New Roman" w:hAnsi="Tahoma" w:cs="Tahoma"/>
      <w:color w:val="000080"/>
      <w:sz w:val="16"/>
      <w:szCs w:val="16"/>
      <w:lang w:eastAsia="ar-SA"/>
    </w:rPr>
  </w:style>
  <w:style w:type="paragraph" w:styleId="Paragrafoelenco">
    <w:name w:val="List Paragraph"/>
    <w:basedOn w:val="Normale"/>
    <w:uiPriority w:val="34"/>
    <w:qFormat/>
    <w:rsid w:val="00AD2B3D"/>
    <w:pPr>
      <w:ind w:left="720"/>
      <w:contextualSpacing/>
    </w:pPr>
  </w:style>
  <w:style w:type="character" w:customStyle="1" w:styleId="Titolo5Carattere">
    <w:name w:val="Titolo 5 Carattere"/>
    <w:basedOn w:val="Carpredefinitoparagrafo"/>
    <w:link w:val="Titolo5"/>
    <w:rsid w:val="00AE31CF"/>
    <w:rPr>
      <w:rFonts w:ascii="Cambria" w:eastAsia="Andale Sans UI" w:hAnsi="Cambria" w:cs="Times New Roman"/>
      <w:color w:val="243F60"/>
      <w:kern w:val="1"/>
      <w:sz w:val="24"/>
      <w:szCs w:val="24"/>
      <w:lang w:eastAsia="ar-SA"/>
    </w:rPr>
  </w:style>
  <w:style w:type="paragraph" w:styleId="Corpodeltesto">
    <w:name w:val="Body Text"/>
    <w:basedOn w:val="Normale"/>
    <w:link w:val="CorpodeltestoCarattere"/>
    <w:uiPriority w:val="99"/>
    <w:semiHidden/>
    <w:unhideWhenUsed/>
    <w:rsid w:val="00AE31CF"/>
    <w:pPr>
      <w:spacing w:after="120"/>
    </w:pPr>
  </w:style>
  <w:style w:type="character" w:customStyle="1" w:styleId="CorpodeltestoCarattere">
    <w:name w:val="Corpo del testo Carattere"/>
    <w:basedOn w:val="Carpredefinitoparagrafo"/>
    <w:link w:val="Corpodeltesto"/>
    <w:uiPriority w:val="99"/>
    <w:semiHidden/>
    <w:rsid w:val="00AE31CF"/>
    <w:rPr>
      <w:rFonts w:ascii="Verdana" w:eastAsia="Times New Roman" w:hAnsi="Verdana" w:cs="Verdana"/>
      <w:color w:val="000080"/>
      <w:sz w:val="20"/>
      <w:szCs w:val="20"/>
      <w:lang w:eastAsia="ar-SA"/>
    </w:rPr>
  </w:style>
  <w:style w:type="paragraph" w:customStyle="1" w:styleId="Primoparagrafo">
    <w:name w:val="Primo paragrafo"/>
    <w:basedOn w:val="Normale"/>
    <w:next w:val="Normale"/>
    <w:link w:val="PrimoparagrafoCarattere"/>
    <w:qFormat/>
    <w:rsid w:val="0052517A"/>
    <w:pPr>
      <w:tabs>
        <w:tab w:val="clear" w:pos="397"/>
        <w:tab w:val="clear" w:pos="851"/>
        <w:tab w:val="clear" w:pos="1247"/>
        <w:tab w:val="clear" w:pos="5670"/>
        <w:tab w:val="clear" w:pos="7088"/>
      </w:tabs>
      <w:suppressAutoHyphens w:val="0"/>
      <w:spacing w:line="283" w:lineRule="auto"/>
    </w:pPr>
    <w:rPr>
      <w:rFonts w:ascii="Times New Roman" w:eastAsiaTheme="minorHAnsi" w:hAnsi="Times New Roman" w:cstheme="minorBidi"/>
      <w:color w:val="auto"/>
      <w:kern w:val="22"/>
      <w:sz w:val="22"/>
      <w:szCs w:val="22"/>
      <w:lang w:eastAsia="en-US"/>
    </w:rPr>
  </w:style>
  <w:style w:type="character" w:customStyle="1" w:styleId="PrimoparagrafoCarattere">
    <w:name w:val="Primo paragrafo Carattere"/>
    <w:basedOn w:val="Carpredefinitoparagrafo"/>
    <w:link w:val="Primoparagrafo"/>
    <w:rsid w:val="0052517A"/>
    <w:rPr>
      <w:rFonts w:ascii="Times New Roman" w:hAnsi="Times New Roman"/>
      <w:kern w:val="22"/>
    </w:rPr>
  </w:style>
  <w:style w:type="character" w:customStyle="1" w:styleId="Titolo1Carattere">
    <w:name w:val="Titolo 1 Carattere"/>
    <w:basedOn w:val="Carpredefinitoparagrafo"/>
    <w:link w:val="Titolo1"/>
    <w:uiPriority w:val="9"/>
    <w:rsid w:val="001B3FDB"/>
    <w:rPr>
      <w:rFonts w:asciiTheme="majorHAnsi" w:eastAsiaTheme="majorEastAsia" w:hAnsiTheme="majorHAnsi" w:cstheme="majorBidi"/>
      <w:b/>
      <w:bCs/>
      <w:color w:val="2E74B5" w:themeColor="accent1" w:themeShade="BF"/>
      <w:sz w:val="28"/>
      <w:szCs w:val="28"/>
      <w:lang w:eastAsia="ar-SA"/>
    </w:rPr>
  </w:style>
  <w:style w:type="paragraph" w:styleId="NormaleWeb">
    <w:name w:val="Normal (Web)"/>
    <w:basedOn w:val="Normale"/>
    <w:unhideWhenUsed/>
    <w:rsid w:val="001B3FDB"/>
    <w:pPr>
      <w:tabs>
        <w:tab w:val="clear" w:pos="397"/>
        <w:tab w:val="clear" w:pos="851"/>
        <w:tab w:val="clear" w:pos="1247"/>
        <w:tab w:val="clear" w:pos="5670"/>
        <w:tab w:val="clear" w:pos="7088"/>
      </w:tabs>
      <w:suppressAutoHyphens w:val="0"/>
      <w:spacing w:before="100" w:beforeAutospacing="1" w:after="100" w:afterAutospacing="1"/>
      <w:jc w:val="left"/>
    </w:pPr>
    <w:rPr>
      <w:rFonts w:ascii="Times New Roman" w:hAnsi="Times New Roman" w:cs="Times New Roman"/>
      <w:color w:val="auto"/>
      <w:sz w:val="24"/>
      <w:szCs w:val="24"/>
      <w:lang w:eastAsia="it-IT"/>
    </w:rPr>
  </w:style>
  <w:style w:type="paragraph" w:customStyle="1" w:styleId="Contenutotabella">
    <w:name w:val="Contenuto tabella"/>
    <w:basedOn w:val="Normale"/>
    <w:rsid w:val="00E14267"/>
    <w:pPr>
      <w:widowControl w:val="0"/>
      <w:suppressLineNumbers/>
      <w:tabs>
        <w:tab w:val="clear" w:pos="397"/>
        <w:tab w:val="clear" w:pos="851"/>
        <w:tab w:val="clear" w:pos="1247"/>
        <w:tab w:val="clear" w:pos="5670"/>
        <w:tab w:val="clear" w:pos="7088"/>
      </w:tabs>
      <w:spacing w:after="200"/>
      <w:jc w:val="left"/>
    </w:pPr>
    <w:rPr>
      <w:rFonts w:ascii="Cambria" w:eastAsia="Cambria" w:hAnsi="Cambria" w:cs="Cambria"/>
      <w:color w:val="auto"/>
      <w:sz w:val="24"/>
      <w:szCs w:val="24"/>
    </w:rPr>
  </w:style>
  <w:style w:type="paragraph" w:customStyle="1" w:styleId="Intestazionetabella">
    <w:name w:val="Intestazione tabella"/>
    <w:basedOn w:val="Contenutotabella"/>
    <w:rsid w:val="00E14267"/>
    <w:pPr>
      <w:widowControl/>
      <w:spacing w:after="0"/>
      <w:jc w:val="center"/>
    </w:pPr>
    <w:rPr>
      <w:rFonts w:ascii="Times New Roman" w:eastAsia="Times New Roman" w:hAnsi="Times New Roman" w:cs="Times New Roman"/>
      <w:b/>
      <w:bCs/>
      <w:i/>
      <w:iCs/>
      <w:sz w:val="20"/>
      <w:szCs w:val="20"/>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B10EEC"/>
    <w:pPr>
      <w:tabs>
        <w:tab w:val="left" w:pos="397"/>
        <w:tab w:val="left" w:pos="851"/>
        <w:tab w:val="left" w:pos="1247"/>
        <w:tab w:val="left" w:pos="5670"/>
        <w:tab w:val="left" w:pos="7088"/>
      </w:tabs>
      <w:suppressAutoHyphens/>
      <w:spacing w:after="0" w:line="240" w:lineRule="auto"/>
      <w:jc w:val="both"/>
    </w:pPr>
    <w:rPr>
      <w:rFonts w:ascii="Verdana" w:eastAsia="Times New Roman" w:hAnsi="Verdana" w:cs="Verdana"/>
      <w:color w:val="000080"/>
      <w:sz w:val="20"/>
      <w:szCs w:val="20"/>
      <w:lang w:eastAsia="ar-SA"/>
    </w:rPr>
  </w:style>
  <w:style w:type="paragraph" w:styleId="Titolo1">
    <w:name w:val="heading 1"/>
    <w:basedOn w:val="Normale"/>
    <w:next w:val="Normale"/>
    <w:link w:val="Titolo1Carattere"/>
    <w:uiPriority w:val="9"/>
    <w:qFormat/>
    <w:rsid w:val="001B3FDB"/>
    <w:pPr>
      <w:keepNext/>
      <w:keepLines/>
      <w:spacing w:before="480"/>
      <w:outlineLvl w:val="0"/>
    </w:pPr>
    <w:rPr>
      <w:rFonts w:asciiTheme="majorHAnsi" w:eastAsiaTheme="majorEastAsia" w:hAnsiTheme="majorHAnsi" w:cstheme="majorBidi"/>
      <w:b/>
      <w:bCs/>
      <w:color w:val="2E74B5" w:themeColor="accent1" w:themeShade="BF"/>
      <w:sz w:val="28"/>
      <w:szCs w:val="28"/>
    </w:rPr>
  </w:style>
  <w:style w:type="paragraph" w:styleId="Titolo5">
    <w:name w:val="heading 5"/>
    <w:basedOn w:val="Normale"/>
    <w:next w:val="Corpotesto"/>
    <w:link w:val="Titolo5Carattere"/>
    <w:qFormat/>
    <w:rsid w:val="00AE31CF"/>
    <w:pPr>
      <w:keepNext/>
      <w:keepLines/>
      <w:widowControl w:val="0"/>
      <w:numPr>
        <w:ilvl w:val="4"/>
        <w:numId w:val="1"/>
      </w:numPr>
      <w:spacing w:before="200"/>
      <w:outlineLvl w:val="4"/>
    </w:pPr>
    <w:rPr>
      <w:rFonts w:ascii="Cambria" w:eastAsia="Andale Sans UI" w:hAnsi="Cambria" w:cs="Times New Roman"/>
      <w:color w:val="243F60"/>
      <w:kern w:val="1"/>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uiPriority w:val="99"/>
    <w:rsid w:val="00B10EEC"/>
    <w:pPr>
      <w:tabs>
        <w:tab w:val="clear" w:pos="397"/>
        <w:tab w:val="clear" w:pos="851"/>
        <w:tab w:val="clear" w:pos="1247"/>
        <w:tab w:val="clear" w:pos="5670"/>
        <w:tab w:val="clear" w:pos="7088"/>
        <w:tab w:val="center" w:pos="4819"/>
        <w:tab w:val="right" w:pos="9638"/>
      </w:tabs>
    </w:pPr>
  </w:style>
  <w:style w:type="character" w:customStyle="1" w:styleId="PidipaginaCarattere">
    <w:name w:val="Piè di pagina Carattere"/>
    <w:basedOn w:val="Carpredefinitoparagrafo"/>
    <w:link w:val="Pidipagina"/>
    <w:uiPriority w:val="99"/>
    <w:rsid w:val="00B10EEC"/>
    <w:rPr>
      <w:rFonts w:ascii="Verdana" w:eastAsia="Times New Roman" w:hAnsi="Verdana" w:cs="Verdana"/>
      <w:color w:val="000080"/>
      <w:sz w:val="20"/>
      <w:szCs w:val="20"/>
      <w:lang w:eastAsia="ar-SA"/>
    </w:rPr>
  </w:style>
  <w:style w:type="character" w:styleId="Collegamentoipertestuale">
    <w:name w:val="Hyperlink"/>
    <w:rsid w:val="00B10EEC"/>
    <w:rPr>
      <w:color w:val="0000FF"/>
      <w:u w:val="single"/>
    </w:rPr>
  </w:style>
  <w:style w:type="character" w:styleId="Enfasigrassetto">
    <w:name w:val="Strong"/>
    <w:uiPriority w:val="22"/>
    <w:qFormat/>
    <w:rsid w:val="00B10EEC"/>
    <w:rPr>
      <w:b/>
      <w:bCs/>
    </w:rPr>
  </w:style>
  <w:style w:type="character" w:styleId="Enfasicorsivo">
    <w:name w:val="Emphasis"/>
    <w:uiPriority w:val="20"/>
    <w:qFormat/>
    <w:rsid w:val="00B10EEC"/>
    <w:rPr>
      <w:i/>
      <w:iCs/>
    </w:rPr>
  </w:style>
  <w:style w:type="table" w:styleId="Grigliatabella">
    <w:name w:val="Table Grid"/>
    <w:basedOn w:val="Tabellanormale"/>
    <w:uiPriority w:val="39"/>
    <w:rsid w:val="00D8499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fumetto">
    <w:name w:val="Balloon Text"/>
    <w:basedOn w:val="Normale"/>
    <w:link w:val="TestofumettoCarattere"/>
    <w:uiPriority w:val="99"/>
    <w:semiHidden/>
    <w:unhideWhenUsed/>
    <w:rsid w:val="00413897"/>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413897"/>
    <w:rPr>
      <w:rFonts w:ascii="Tahoma" w:eastAsia="Times New Roman" w:hAnsi="Tahoma" w:cs="Tahoma"/>
      <w:color w:val="000080"/>
      <w:sz w:val="16"/>
      <w:szCs w:val="16"/>
      <w:lang w:eastAsia="ar-SA"/>
    </w:rPr>
  </w:style>
  <w:style w:type="paragraph" w:styleId="Paragrafoelenco">
    <w:name w:val="List Paragraph"/>
    <w:basedOn w:val="Normale"/>
    <w:uiPriority w:val="34"/>
    <w:qFormat/>
    <w:rsid w:val="00AD2B3D"/>
    <w:pPr>
      <w:ind w:left="720"/>
      <w:contextualSpacing/>
    </w:pPr>
  </w:style>
  <w:style w:type="character" w:customStyle="1" w:styleId="Titolo5Carattere">
    <w:name w:val="Titolo 5 Carattere"/>
    <w:basedOn w:val="Carpredefinitoparagrafo"/>
    <w:link w:val="Titolo5"/>
    <w:rsid w:val="00AE31CF"/>
    <w:rPr>
      <w:rFonts w:ascii="Cambria" w:eastAsia="Andale Sans UI" w:hAnsi="Cambria" w:cs="Times New Roman"/>
      <w:color w:val="243F60"/>
      <w:kern w:val="1"/>
      <w:sz w:val="24"/>
      <w:szCs w:val="24"/>
      <w:lang w:eastAsia="ar-SA"/>
    </w:rPr>
  </w:style>
  <w:style w:type="paragraph" w:styleId="Corpotesto">
    <w:name w:val="Body Text"/>
    <w:basedOn w:val="Normale"/>
    <w:link w:val="CorpotestoCarattere"/>
    <w:uiPriority w:val="99"/>
    <w:semiHidden/>
    <w:unhideWhenUsed/>
    <w:rsid w:val="00AE31CF"/>
    <w:pPr>
      <w:spacing w:after="120"/>
    </w:pPr>
  </w:style>
  <w:style w:type="character" w:customStyle="1" w:styleId="CorpotestoCarattere">
    <w:name w:val="Corpo testo Carattere"/>
    <w:basedOn w:val="Carpredefinitoparagrafo"/>
    <w:link w:val="Corpotesto"/>
    <w:uiPriority w:val="99"/>
    <w:semiHidden/>
    <w:rsid w:val="00AE31CF"/>
    <w:rPr>
      <w:rFonts w:ascii="Verdana" w:eastAsia="Times New Roman" w:hAnsi="Verdana" w:cs="Verdana"/>
      <w:color w:val="000080"/>
      <w:sz w:val="20"/>
      <w:szCs w:val="20"/>
      <w:lang w:eastAsia="ar-SA"/>
    </w:rPr>
  </w:style>
  <w:style w:type="paragraph" w:customStyle="1" w:styleId="Primoparagrafo">
    <w:name w:val="Primo paragrafo"/>
    <w:basedOn w:val="Normale"/>
    <w:next w:val="Normale"/>
    <w:link w:val="PrimoparagrafoCarattere"/>
    <w:qFormat/>
    <w:rsid w:val="0052517A"/>
    <w:pPr>
      <w:tabs>
        <w:tab w:val="clear" w:pos="397"/>
        <w:tab w:val="clear" w:pos="851"/>
        <w:tab w:val="clear" w:pos="1247"/>
        <w:tab w:val="clear" w:pos="5670"/>
        <w:tab w:val="clear" w:pos="7088"/>
      </w:tabs>
      <w:suppressAutoHyphens w:val="0"/>
      <w:spacing w:line="283" w:lineRule="auto"/>
    </w:pPr>
    <w:rPr>
      <w:rFonts w:ascii="Times New Roman" w:eastAsiaTheme="minorHAnsi" w:hAnsi="Times New Roman" w:cstheme="minorBidi"/>
      <w:color w:val="auto"/>
      <w:kern w:val="22"/>
      <w:sz w:val="22"/>
      <w:szCs w:val="22"/>
      <w:lang w:eastAsia="en-US"/>
      <w14:ligatures w14:val="standardContextual"/>
      <w14:numForm w14:val="oldStyle"/>
      <w14:numSpacing w14:val="proportional"/>
    </w:rPr>
  </w:style>
  <w:style w:type="character" w:customStyle="1" w:styleId="PrimoparagrafoCarattere">
    <w:name w:val="Primo paragrafo Carattere"/>
    <w:basedOn w:val="Carpredefinitoparagrafo"/>
    <w:link w:val="Primoparagrafo"/>
    <w:rsid w:val="0052517A"/>
    <w:rPr>
      <w:rFonts w:ascii="Times New Roman" w:hAnsi="Times New Roman"/>
      <w:kern w:val="22"/>
      <w14:ligatures w14:val="standardContextual"/>
      <w14:numForm w14:val="oldStyle"/>
      <w14:numSpacing w14:val="proportional"/>
    </w:rPr>
  </w:style>
  <w:style w:type="character" w:customStyle="1" w:styleId="Titolo1Carattere">
    <w:name w:val="Titolo 1 Carattere"/>
    <w:basedOn w:val="Carpredefinitoparagrafo"/>
    <w:link w:val="Titolo1"/>
    <w:uiPriority w:val="9"/>
    <w:rsid w:val="001B3FDB"/>
    <w:rPr>
      <w:rFonts w:asciiTheme="majorHAnsi" w:eastAsiaTheme="majorEastAsia" w:hAnsiTheme="majorHAnsi" w:cstheme="majorBidi"/>
      <w:b/>
      <w:bCs/>
      <w:color w:val="2E74B5" w:themeColor="accent1" w:themeShade="BF"/>
      <w:sz w:val="28"/>
      <w:szCs w:val="28"/>
      <w:lang w:eastAsia="ar-SA"/>
    </w:rPr>
  </w:style>
  <w:style w:type="paragraph" w:styleId="NormaleWeb">
    <w:name w:val="Normal (Web)"/>
    <w:basedOn w:val="Normale"/>
    <w:unhideWhenUsed/>
    <w:rsid w:val="001B3FDB"/>
    <w:pPr>
      <w:tabs>
        <w:tab w:val="clear" w:pos="397"/>
        <w:tab w:val="clear" w:pos="851"/>
        <w:tab w:val="clear" w:pos="1247"/>
        <w:tab w:val="clear" w:pos="5670"/>
        <w:tab w:val="clear" w:pos="7088"/>
      </w:tabs>
      <w:suppressAutoHyphens w:val="0"/>
      <w:spacing w:before="100" w:beforeAutospacing="1" w:after="100" w:afterAutospacing="1"/>
      <w:jc w:val="left"/>
    </w:pPr>
    <w:rPr>
      <w:rFonts w:ascii="Times New Roman" w:hAnsi="Times New Roman" w:cs="Times New Roman"/>
      <w:color w:val="auto"/>
      <w:sz w:val="24"/>
      <w:szCs w:val="24"/>
      <w:lang w:eastAsia="it-IT"/>
    </w:rPr>
  </w:style>
  <w:style w:type="paragraph" w:customStyle="1" w:styleId="Contenutotabella">
    <w:name w:val="Contenuto tabella"/>
    <w:basedOn w:val="Normale"/>
    <w:rsid w:val="00E14267"/>
    <w:pPr>
      <w:widowControl w:val="0"/>
      <w:suppressLineNumbers/>
      <w:tabs>
        <w:tab w:val="clear" w:pos="397"/>
        <w:tab w:val="clear" w:pos="851"/>
        <w:tab w:val="clear" w:pos="1247"/>
        <w:tab w:val="clear" w:pos="5670"/>
        <w:tab w:val="clear" w:pos="7088"/>
      </w:tabs>
      <w:spacing w:after="200"/>
      <w:jc w:val="left"/>
    </w:pPr>
    <w:rPr>
      <w:rFonts w:ascii="Cambria" w:eastAsia="Cambria" w:hAnsi="Cambria" w:cs="Cambria"/>
      <w:color w:val="auto"/>
      <w:sz w:val="24"/>
      <w:szCs w:val="24"/>
    </w:rPr>
  </w:style>
  <w:style w:type="paragraph" w:customStyle="1" w:styleId="Intestazionetabella">
    <w:name w:val="Intestazione tabella"/>
    <w:basedOn w:val="Contenutotabella"/>
    <w:rsid w:val="00E14267"/>
    <w:pPr>
      <w:widowControl/>
      <w:spacing w:after="0"/>
      <w:jc w:val="center"/>
    </w:pPr>
    <w:rPr>
      <w:rFonts w:ascii="Times New Roman" w:eastAsia="Times New Roman" w:hAnsi="Times New Roman" w:cs="Times New Roman"/>
      <w:b/>
      <w:bCs/>
      <w:i/>
      <w:iCs/>
      <w:sz w:val="20"/>
      <w:szCs w:val="20"/>
      <w:lang w:val="en-US"/>
    </w:rPr>
  </w:style>
</w:styles>
</file>

<file path=word/webSettings.xml><?xml version="1.0" encoding="utf-8"?>
<w:webSettings xmlns:r="http://schemas.openxmlformats.org/officeDocument/2006/relationships" xmlns:w="http://schemas.openxmlformats.org/wordprocessingml/2006/main">
  <w:divs>
    <w:div w:id="658965915">
      <w:bodyDiv w:val="1"/>
      <w:marLeft w:val="0"/>
      <w:marRight w:val="0"/>
      <w:marTop w:val="0"/>
      <w:marBottom w:val="0"/>
      <w:divBdr>
        <w:top w:val="none" w:sz="0" w:space="0" w:color="auto"/>
        <w:left w:val="none" w:sz="0" w:space="0" w:color="auto"/>
        <w:bottom w:val="none" w:sz="0" w:space="0" w:color="auto"/>
        <w:right w:val="none" w:sz="0" w:space="0" w:color="auto"/>
      </w:divBdr>
    </w:div>
    <w:div w:id="794829374">
      <w:bodyDiv w:val="1"/>
      <w:marLeft w:val="0"/>
      <w:marRight w:val="0"/>
      <w:marTop w:val="0"/>
      <w:marBottom w:val="0"/>
      <w:divBdr>
        <w:top w:val="none" w:sz="0" w:space="0" w:color="auto"/>
        <w:left w:val="none" w:sz="0" w:space="0" w:color="auto"/>
        <w:bottom w:val="none" w:sz="0" w:space="0" w:color="auto"/>
        <w:right w:val="none" w:sz="0" w:space="0" w:color="auto"/>
      </w:divBdr>
    </w:div>
    <w:div w:id="1239755862">
      <w:bodyDiv w:val="1"/>
      <w:marLeft w:val="0"/>
      <w:marRight w:val="0"/>
      <w:marTop w:val="0"/>
      <w:marBottom w:val="0"/>
      <w:divBdr>
        <w:top w:val="none" w:sz="0" w:space="0" w:color="auto"/>
        <w:left w:val="none" w:sz="0" w:space="0" w:color="auto"/>
        <w:bottom w:val="none" w:sz="0" w:space="0" w:color="auto"/>
        <w:right w:val="none" w:sz="0" w:space="0" w:color="auto"/>
      </w:divBdr>
    </w:div>
    <w:div w:id="1319843866">
      <w:bodyDiv w:val="1"/>
      <w:marLeft w:val="0"/>
      <w:marRight w:val="0"/>
      <w:marTop w:val="0"/>
      <w:marBottom w:val="0"/>
      <w:divBdr>
        <w:top w:val="none" w:sz="0" w:space="0" w:color="auto"/>
        <w:left w:val="none" w:sz="0" w:space="0" w:color="auto"/>
        <w:bottom w:val="none" w:sz="0" w:space="0" w:color="auto"/>
        <w:right w:val="none" w:sz="0" w:space="0" w:color="auto"/>
      </w:divBdr>
    </w:div>
    <w:div w:id="1562059961">
      <w:bodyDiv w:val="1"/>
      <w:marLeft w:val="0"/>
      <w:marRight w:val="0"/>
      <w:marTop w:val="0"/>
      <w:marBottom w:val="0"/>
      <w:divBdr>
        <w:top w:val="none" w:sz="0" w:space="0" w:color="auto"/>
        <w:left w:val="none" w:sz="0" w:space="0" w:color="auto"/>
        <w:bottom w:val="none" w:sz="0" w:space="0" w:color="auto"/>
        <w:right w:val="none" w:sz="0" w:space="0" w:color="auto"/>
      </w:divBdr>
    </w:div>
    <w:div w:id="2025091074">
      <w:bodyDiv w:val="1"/>
      <w:marLeft w:val="0"/>
      <w:marRight w:val="0"/>
      <w:marTop w:val="0"/>
      <w:marBottom w:val="0"/>
      <w:divBdr>
        <w:top w:val="none" w:sz="0" w:space="0" w:color="auto"/>
        <w:left w:val="none" w:sz="0" w:space="0" w:color="auto"/>
        <w:bottom w:val="none" w:sz="0" w:space="0" w:color="auto"/>
        <w:right w:val="none" w:sz="0" w:space="0" w:color="auto"/>
      </w:divBdr>
      <w:divsChild>
        <w:div w:id="172602714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microsoft.com/office/2007/relationships/stylesWithEffects" Target="stylesWithEffect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711</Words>
  <Characters>4059</Characters>
  <Application>Microsoft Office Word</Application>
  <DocSecurity>0</DocSecurity>
  <Lines>33</Lines>
  <Paragraphs>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4761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MACCARI15</dc:creator>
  <cp:lastModifiedBy>Claudia</cp:lastModifiedBy>
  <cp:revision>2</cp:revision>
  <cp:lastPrinted>2018-01-24T16:10:00Z</cp:lastPrinted>
  <dcterms:created xsi:type="dcterms:W3CDTF">2018-01-26T12:43:00Z</dcterms:created>
  <dcterms:modified xsi:type="dcterms:W3CDTF">2018-01-26T12:43:00Z</dcterms:modified>
</cp:coreProperties>
</file>